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绍市发改价〔2019〕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绍兴市发展和改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革委员会关于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绍兴市城市广场管理有限公司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机动车停放收费标准的批复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绍兴市城市广场管理有限公司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你公司《关于要求核定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保佑桥直街等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10处道路临时停车点占道收费标准的报告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》悉。根据《关于进一步完善道路机动车停放差别化收费管理的通知》（绍市发改价〔2016〕42号）等文件规定，现对保佑桥直街等10处道路临时停车点占道收费标准批复如下：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一、收费标准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小车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车次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小时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特级区域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一级区域6元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二级区域2元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大车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 吨以上货车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20座以上客车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按小车标准加倍计收。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计时规定。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机动车临时停车，15分钟（含）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以内驶离的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免费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实际停放时间超过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按完整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段计费（即开始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15分钟也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收费）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。计费时间尾数取舍：实际停车尾数时间15分钟（含）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以内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的，不计停车尾数时间；超过15分钟的，停车尾数时间按一个计费单位计收。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、执行公务或任务的军车（含武警车辆）、警车、消防车、救灾抢险车，环卫清运车、救护车、市政工程抢修车辆等免收停车费。倡导你公司向社会免费提供停车服务，具体由你公司根据实际管理情况自行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四、你公司应按规定实行明码标价，在服务场所及缴费地点的醒目位置，公布收费标准、收费依据、计费时段、免费停放时间、投诉举报电话等，接受社会监督。机动车驶离停车场所收取停车费时，你公司应当明确告知车主停车开始时间、结束时间及计费时间，收费时使用税务部门统一监制的经营服务票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以上规定自2019年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日起执行。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附件：保佑桥直街等10处道路临时停车点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 w:firstLine="4480" w:firstLineChars="14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right="-153" w:rightChars="-73" w:firstLine="1280" w:firstLineChars="4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绍兴市发展和改革委员会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</w:t>
      </w:r>
    </w:p>
    <w:p>
      <w:pPr>
        <w:spacing w:line="240" w:lineRule="exact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保佑桥直街等10处道路临时停车点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7736" w:type="dxa"/>
        <w:jc w:val="center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71"/>
        <w:gridCol w:w="1357"/>
        <w:gridCol w:w="2854"/>
        <w:gridCol w:w="1096"/>
        <w:gridCol w:w="16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6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道路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位置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车位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路段级别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上大路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解放路-大庆桥，南侧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武勋坊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府山西路-西小路，南侧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保佑桥直街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东街-断河头路，东侧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特级区域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东街广场南侧路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近公积金中心门口，南侧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特级区域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府横街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解放路-仓桥直街，北侧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特级区域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新建路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电力大厦-东街，西侧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特级区域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朝阳路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镜湖路-二环南路，西侧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镜湖路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朝晖路-解放南路，南侧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镜湖路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中兴南路-东光路，南侧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11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中兴路</w:t>
            </w:r>
          </w:p>
        </w:tc>
        <w:tc>
          <w:tcPr>
            <w:tcW w:w="2854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立交桥下（鞋子畈-铁路），两侧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二级区域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2041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right="0" w:rightChars="0" w:hanging="840" w:hangingChars="3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673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6.25pt;z-index:251660288;mso-width-relative:page;mso-height-relative:page;" filled="f" stroked="t" coordsize="21600,21600" o:gfxdata="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9afb3TAAAABAEAAA8AAAAA&#10;AAAAAQAgAAAAIgAAAGRycy9kb3ducmV2LnhtbFBLAQIUABQAAAAIAIdO4kDib3eX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抄送：市</w:t>
      </w:r>
      <w:r>
        <w:rPr>
          <w:rFonts w:hint="eastAsia" w:eastAsia="仿宋_GB2312" w:cs="Times New Roman"/>
          <w:sz w:val="28"/>
          <w:szCs w:val="28"/>
          <w:lang w:eastAsia="zh-CN"/>
        </w:rPr>
        <w:t>市场监督管理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局，</w:t>
      </w:r>
      <w:r>
        <w:rPr>
          <w:rFonts w:hint="eastAsia" w:eastAsia="仿宋_GB2312" w:cs="Times New Roman"/>
          <w:sz w:val="28"/>
          <w:szCs w:val="28"/>
          <w:lang w:eastAsia="zh-CN"/>
        </w:rPr>
        <w:t>越城区综合行政执法局</w:t>
      </w: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566737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.7pt;height:0pt;width:446.25pt;z-index:251661312;mso-width-relative:page;mso-height-relative:page;" filled="f" stroked="t" coordsize="21600,21600" o:gfxdata="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qbhX1AAAAAYBAAAPAAAA&#10;AAAAAAEAIAAAACIAAABkcnMvZG93bnJldi54bWxQSwECFAAUAAAACACHTuJAbWv6kOABAACm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419100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3pt;height:0pt;width:446.25pt;z-index:251658240;mso-width-relative:page;mso-height-relative:page;" filled="f" stroked="t" coordsize="21600,21600" o:gfxdata="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qh1G1QAAAAgBAAAPAAAA&#10;AAAAAAEAIAAAACIAAABkcnMvZG93bnJldi54bWxQSwECFAAUAAAACACHTuJAi38BNt8BAACk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绍兴市发展和改革委员会办公室     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 xml:space="preserve">  201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年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月</w:t>
      </w:r>
      <w:r>
        <w:rPr>
          <w:rFonts w:hint="eastAsia" w:eastAsia="仿宋_GB2312" w:cs="Times New Roman"/>
          <w:snapToGrid w:val="0"/>
          <w:kern w:val="0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napToGrid w:val="0"/>
          <w:kern w:val="0"/>
          <w:sz w:val="28"/>
          <w:szCs w:val="28"/>
        </w:rPr>
        <w:t>日印发</w:t>
      </w:r>
    </w:p>
    <w:sectPr>
      <w:footerReference r:id="rId5" w:type="default"/>
      <w:pgSz w:w="11906" w:h="16838"/>
      <w:pgMar w:top="2041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3"/>
    <w:rsid w:val="00C02423"/>
    <w:rsid w:val="03D12D3A"/>
    <w:rsid w:val="097541DD"/>
    <w:rsid w:val="0AF65513"/>
    <w:rsid w:val="10B43BB8"/>
    <w:rsid w:val="127758B3"/>
    <w:rsid w:val="1391653E"/>
    <w:rsid w:val="17C143EF"/>
    <w:rsid w:val="1C326DC6"/>
    <w:rsid w:val="269F4F1C"/>
    <w:rsid w:val="2F7B7045"/>
    <w:rsid w:val="39D668C5"/>
    <w:rsid w:val="4A0746A1"/>
    <w:rsid w:val="4CC6610F"/>
    <w:rsid w:val="52FD6A50"/>
    <w:rsid w:val="543D55AC"/>
    <w:rsid w:val="547D3D23"/>
    <w:rsid w:val="56235C79"/>
    <w:rsid w:val="5624282B"/>
    <w:rsid w:val="5D5B7350"/>
    <w:rsid w:val="5ED67D5D"/>
    <w:rsid w:val="64743A3D"/>
    <w:rsid w:val="6816073B"/>
    <w:rsid w:val="73E309B2"/>
    <w:rsid w:val="75162028"/>
    <w:rsid w:val="796D204E"/>
    <w:rsid w:val="7CD5322F"/>
    <w:rsid w:val="7D36496D"/>
    <w:rsid w:val="7E4C4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D3D3D"/>
      <w:u w:val="none"/>
    </w:rPr>
  </w:style>
  <w:style w:type="character" w:styleId="8">
    <w:name w:val="Hyperlink"/>
    <w:basedOn w:val="6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2019-03-05T07:23:00Z</dcterms:created>
  <dc:creator>Administrator</dc:creator>
  <cp:lastModifiedBy>-邵嘉达</cp:lastModifiedBy>
  <cp:lastPrinted>2019-04-30T06:13:34Z</cp:lastPrinted>
  <dcterms:modified xsi:type="dcterms:W3CDTF">2019-04-30T07:45:58Z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